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F97316"/>
          <w:spacing w:val="60"/>
          <w:sz w:val="18"/>
          <w:szCs w:val="18"/>
        </w:rPr>
        <w:t xml:space="preserve">RICHTLINIE</w:t>
      </w:r>
    </w:p>
    <w:p>
      <w:pPr>
        <w:pBdr>
          <w:bottom w:val="single" w:color="F97316" w:sz="12" w:space="8"/>
        </w:pBdr>
        <w:spacing w:after="100"/>
      </w:pPr>
      <w:r>
        <w:rPr>
          <w:b/>
          <w:bCs/>
          <w:color w:val="0D1B2A"/>
          <w:sz w:val="40"/>
          <w:szCs w:val="40"/>
        </w:rPr>
        <w:t xml:space="preserve">Einsatz von KI-Systemen im Unternehmen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Diese Vorlage unterstützt bei der Erfüllung der Anforderungen aus Artikel 4 der Verordnung (EU) 2024/1689 (KI-Verordnung). Die orange hervorgehobenen Stellen sind auf den eigenen Betrieb anzupassen.</w:t>
      </w:r>
    </w:p>
    <w:p>
      <w:pPr>
        <w:spacing w:after="140" w:line="300"/>
      </w:pPr>
      <w:r>
        <w:rPr>
          <w:i/>
          <w:iCs/>
          <w:color w:val="F97316"/>
          <w:sz w:val="21"/>
          <w:szCs w:val="21"/>
        </w:rPr>
        <w:t xml:space="preserve">Hinweis: Diese Vorlage ersetzt keine Rechtsberatung. Prüfen Sie vor Inkraftsetzung, ob Mitbestimmungsrechte des Betriebsrats nach § 87 BetrVG berührt sind.</w:t>
      </w:r>
    </w:p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Unternehmen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[Firmenname, Anschrift]</w:t>
            </w:r>
          </w:p>
        </w:tc>
      </w:tr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Gültig ab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[Datum]</w:t>
            </w:r>
          </w:p>
        </w:tc>
      </w:tr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Verantwortlich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[Name, Funktion]</w:t>
            </w:r>
          </w:p>
        </w:tc>
      </w:tr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Version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Nächste Prüfung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[Datum, empfohlen jährlich]</w:t>
            </w:r>
          </w:p>
        </w:tc>
      </w:tr>
    </w:tbl>
    <w:p>
      <w:pPr>
        <w:pStyle w:val="Heading1"/>
        <w:spacing w:after="160" w:before="360"/>
      </w:pPr>
      <w:r>
        <w:t xml:space="preserve">1. Zweck und Geltungsbereich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Diese Richtlinie regelt den Einsatz von Systemen der künstlichen Intelligenz im Unternehmen. Sie gilt für alle Beschäftigten einschließlich Auszubildender, Aushilfen, Leiharbeitnehmer und freier Mitarbeiter, die KI-Systeme dienstlich nutzen.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Artikel 4 der KI-Verordnung verpflichtet Betreiber von KI-Systemen seit dem 2. Februar 2025, für ausreichende KI-Kompetenz ihres Personals zu sorgen. Diese Richtlinie und die zugehörige Schulung dienen der Umsetzung dieser Pflicht.</w:t>
      </w:r>
    </w:p>
    <w:p>
      <w:pPr>
        <w:pStyle w:val="Heading1"/>
        <w:spacing w:after="160" w:before="360"/>
      </w:pPr>
      <w:r>
        <w:t xml:space="preserve">2. Was als KI-System gilt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Erfasst sind nicht nur eigenständige Anwendungen, sondern auch KI-Funktionen innerhalb bestehender Software. Im Zweifel gilt eine Anwendung als KI-System.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color w:val="2A3646"/>
          <w:sz w:val="21"/>
          <w:szCs w:val="21"/>
        </w:rPr>
        <w:t xml:space="preserve">Textgenerierende Assistenten und Chatbots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color w:val="2A3646"/>
          <w:sz w:val="21"/>
          <w:szCs w:val="21"/>
        </w:rPr>
        <w:t xml:space="preserve">KI-Funktionen in Office-, CRM- und ERP-Software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color w:val="2A3646"/>
          <w:sz w:val="21"/>
          <w:szCs w:val="21"/>
        </w:rPr>
        <w:t xml:space="preserve">Übersetzungs- und Transkriptionsdienste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color w:val="2A3646"/>
          <w:sz w:val="21"/>
          <w:szCs w:val="21"/>
        </w:rPr>
        <w:t xml:space="preserve">Systeme zur Bild-, Video- oder Audioerzeugung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color w:val="2A3646"/>
          <w:sz w:val="21"/>
          <w:szCs w:val="21"/>
        </w:rPr>
        <w:t xml:space="preserve">Analyse- und Prognosewerkzeuge mit lernenden Verfahren</w:t>
      </w:r>
    </w:p>
    <w:p>
      <w:pPr>
        <w:spacing w:after="140" w:line="300"/>
      </w:pPr>
      <w:r>
        <w:rPr>
          <w:i/>
          <w:iCs/>
          <w:color w:val="F97316"/>
          <w:sz w:val="21"/>
          <w:szCs w:val="21"/>
        </w:rPr>
        <w:t xml:space="preserve">[Ergänzen Sie hier die im Betrieb konkret eingesetzten Systeme.]</w:t>
      </w:r>
    </w:p>
    <w:p>
      <w:pPr>
        <w:pStyle w:val="Heading1"/>
        <w:spacing w:after="160" w:before="360"/>
      </w:pPr>
      <w:r>
        <w:t xml:space="preserve">3. Zugelassene Systeme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Dienstlich dürfen ausschließlich die folgenden, freigegebenen Systeme genutzt werden. Der Einsatz weiterer Systeme bedarf der vorherigen Freigabe durch die verantwortliche Stelle.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System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Zulässiger Einsatzzweck</w:t>
            </w:r>
          </w:p>
        </w:tc>
      </w:tr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[System 1]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[z. B. Entwürfe für interne Texte]</w:t>
            </w:r>
          </w:p>
        </w:tc>
      </w:tr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[System 2]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[z. B. Übersetzungen ohne Personenbezug]</w:t>
            </w:r>
          </w:p>
        </w:tc>
      </w:tr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[System 3]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[Einsatzzweck]</w:t>
            </w:r>
          </w:p>
        </w:tc>
      </w:tr>
    </w:tbl>
    <w:p>
      <w:pPr>
        <w:pStyle w:val="Heading1"/>
        <w:spacing w:after="160" w:before="360"/>
      </w:pPr>
      <w:r>
        <w:t xml:space="preserve">4. Grundregeln für die Nutzung</w:t>
      </w:r>
    </w:p>
    <w:p>
      <w:pPr>
        <w:pStyle w:val="Heading2"/>
        <w:spacing w:after="120" w:before="280"/>
      </w:pPr>
      <w:r>
        <w:t xml:space="preserve">4.1 Keine vertraulichen Daten in offene Systeme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In öffentlich zugängliche KI-Dienste dürfen keine personenbezogenen Daten, Geschäftsgeheimnisse, Kundendaten, Preiskalkulationen oder Vertragsinhalte eingegeben werden. Das gilt auch für Auszüge und scheinbar harmlose Teilinformationen.</w:t>
      </w:r>
    </w:p>
    <w:p>
      <w:pPr>
        <w:pStyle w:val="Heading2"/>
        <w:spacing w:after="120" w:before="280"/>
      </w:pPr>
      <w:r>
        <w:t xml:space="preserve">4.2 Ergebnisse sind Entwürfe, keine Ergebnisse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Ausgaben von KI-Systemen sind vor Verwendung inhaltlich zu prüfen. KI-Systeme erzeugen sprachlich überzeugende, sachlich aber teilweise falsche Aussagen. Die Verantwortung für das Arbeitsergebnis bleibt bei der Person, die es verwendet.</w:t>
      </w:r>
    </w:p>
    <w:p>
      <w:pPr>
        <w:pStyle w:val="Heading2"/>
        <w:spacing w:after="120" w:before="280"/>
      </w:pPr>
      <w:r>
        <w:t xml:space="preserve">4.3 Kennzeichnung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Wesentlich mit KI erstellte Inhalte, die nach außen gehen, sind intern nachvollziehbar zu dokumentieren.</w:t>
      </w:r>
    </w:p>
    <w:p>
      <w:pPr>
        <w:spacing w:after="140" w:line="300"/>
      </w:pPr>
      <w:r>
        <w:rPr>
          <w:i/>
          <w:iCs/>
          <w:color w:val="F97316"/>
          <w:sz w:val="21"/>
          <w:szCs w:val="21"/>
        </w:rPr>
        <w:t xml:space="preserve">[Legen Sie fest, ob und wie gekennzeichnet wird.]</w:t>
      </w:r>
    </w:p>
    <w:p>
      <w:pPr>
        <w:pStyle w:val="Heading2"/>
        <w:spacing w:after="120" w:before="280"/>
      </w:pPr>
      <w:r>
        <w:t xml:space="preserve">4.4 Keine automatisierten Entscheidungen über Personen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KI-Systeme dürfen nicht allein über Bewerbungen, Leistungsbewertungen, Abmahnungen oder vergleichbare Personalangelegenheiten entscheiden. Artikel 22 DSGVO untersagt ausschließlich automatisierte Entscheidungen mit erheblicher Wirkung für Betroffene.</w:t>
      </w:r>
    </w:p>
    <w:p>
      <w:pPr>
        <w:pStyle w:val="Heading2"/>
        <w:spacing w:after="120" w:before="280"/>
      </w:pPr>
      <w:r>
        <w:t xml:space="preserve">4.5 Urheberrecht und Lizenzen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Bei generierten Bildern, Texten und Code sind die Nutzungsbedingungen des jeweiligen Anbieters zu beachten. Bei Programmcode ist zusätzlich auf Lizenzkonflikte zu achten.</w:t>
      </w:r>
    </w:p>
    <w:p>
      <w:pPr>
        <w:pStyle w:val="Heading1"/>
        <w:spacing w:after="160" w:before="360"/>
      </w:pPr>
      <w:r>
        <w:t xml:space="preserve">5. Verbotene Nutzung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color w:val="2A3646"/>
          <w:sz w:val="21"/>
          <w:szCs w:val="21"/>
        </w:rPr>
        <w:t xml:space="preserve">Eingabe von Gesundheitsdaten, Sozialdaten oder Daten besonderer Kategorien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color w:val="2A3646"/>
          <w:sz w:val="21"/>
          <w:szCs w:val="21"/>
        </w:rPr>
        <w:t xml:space="preserve">Emotionserkennung bei Beschäftigten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color w:val="2A3646"/>
          <w:sz w:val="21"/>
          <w:szCs w:val="21"/>
        </w:rPr>
        <w:t xml:space="preserve">Biometrische Kategorisierung von Personen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color w:val="2A3646"/>
          <w:sz w:val="21"/>
          <w:szCs w:val="21"/>
        </w:rPr>
        <w:t xml:space="preserve">Erstellung irreführender Inhalte über reale Personen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color w:val="2A3646"/>
          <w:sz w:val="21"/>
          <w:szCs w:val="21"/>
        </w:rPr>
        <w:t xml:space="preserve">Umgehung technischer Schutzmaßnahmen des Unternehmens</w:t>
      </w:r>
    </w:p>
    <w:p>
      <w:pPr>
        <w:pStyle w:val="Heading1"/>
        <w:spacing w:after="160" w:before="360"/>
      </w:pPr>
      <w:r>
        <w:t xml:space="preserve">6. KI-Kompetenz und Schulung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Alle Beschäftigten, die KI-Systeme dienstlich nutzen, werden vor der ersten Nutzung geschult. Inhalte sind Funktionsweise und Grenzen der Systeme, Datenschutz, Umgang mit Ergebnissen sowie die Regeln dieser Richtlinie.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Die Teilnahme wird dokumentiert. Da die KI-Verordnung kein festes Curriculum vorschreibt, ist diese Dokumentation der maßgebliche Nachweis gegenüber Aufsichtsbehörden.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Schulungsverantwortlich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[Name, Funktion]</w:t>
            </w:r>
          </w:p>
        </w:tc>
      </w:tr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Umfang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[z. B. 90 Minuten]</w:t>
            </w:r>
          </w:p>
        </w:tc>
      </w:tr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Auffrischung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[z. B. bei neuen Systemen, mindestens jährlich]</w:t>
            </w:r>
          </w:p>
        </w:tc>
      </w:tr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Ablage der Nachweise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[Ort]</w:t>
            </w:r>
          </w:p>
        </w:tc>
      </w:tr>
    </w:tbl>
    <w:p>
      <w:pPr>
        <w:pStyle w:val="Heading1"/>
        <w:spacing w:after="160" w:before="360"/>
      </w:pPr>
      <w:r>
        <w:t xml:space="preserve">7. Ansprechpartner und Meldewege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Fragen zur Anwendung dieser Richtlinie sowie Auffälligkeiten – etwa fehlerhafte Ausgaben mit möglichem Schaden oder versehentlich eingegebene vertrauliche Daten – sind unverzüglich zu melden.</w:t>
      </w:r>
    </w:p>
    <w:p>
      <w:pPr>
        <w:spacing w:after="140" w:line="300"/>
      </w:pPr>
      <w:r>
        <w:rPr>
          <w:i/>
          <w:iCs/>
          <w:color w:val="F97316"/>
          <w:sz w:val="21"/>
          <w:szCs w:val="21"/>
        </w:rPr>
        <w:t xml:space="preserve">[Name, Funktion, Erreichbarkeit]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Wurden personenbezogene Daten versehentlich in ein externes System eingegeben, ist zusätzlich die für den Datenschutz zuständige Stelle zu informieren. Eine meldepflichtige Datenpanne ist der Aufsichtsbehörde binnen 72 Stunden anzuzeigen.</w:t>
      </w:r>
    </w:p>
    <w:p>
      <w:pPr>
        <w:pStyle w:val="Heading1"/>
        <w:spacing w:after="160" w:before="360"/>
      </w:pPr>
      <w:r>
        <w:t xml:space="preserve">8. Folgen von Verstößen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Verstöße gegen diese Richtlinie können arbeitsrechtliche Konsequenzen nach sich ziehen. Maßgeblich sind die allgemeinen arbeitsrechtlichen Grundsätze.</w:t>
      </w:r>
    </w:p>
    <w:p>
      <w:pPr>
        <w:pStyle w:val="Heading1"/>
        <w:spacing w:after="160" w:before="360"/>
      </w:pPr>
      <w:r>
        <w:t xml:space="preserve">9. Inkrafttreten</w:t>
      </w:r>
    </w:p>
    <w:p>
      <w:pPr>
        <w:spacing w:after="140" w:line="300"/>
      </w:pPr>
      <w:r>
        <w:rPr>
          <w:color w:val="2A3646"/>
          <w:sz w:val="21"/>
          <w:szCs w:val="21"/>
        </w:rPr>
        <w:t xml:space="preserve">Diese Richtlinie tritt am [Datum] in Kraft und wird mindestens jährlich auf Aktualität geprüft.</w:t>
      </w:r>
    </w:p>
    <w:p>
      <w:pPr>
        <w:spacing w:after="4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Ort, Datum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[                                        ]</w:t>
            </w:r>
          </w:p>
        </w:tc>
      </w:tr>
      <w:tr>
        <w:tc>
          <w:tcPr>
            <w:tcW w:type="dxa" w:w="300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2A3646"/>
                <w:sz w:val="20"/>
                <w:szCs w:val="20"/>
              </w:rPr>
              <w:t xml:space="preserve">Geschäftsführung</w:t>
            </w:r>
          </w:p>
        </w:tc>
        <w:tc>
          <w:tcPr>
            <w:tcW w:type="dxa" w:w="6360"/>
            <w:tcBorders>
              <w:top w:val="single" w:color="D8DEE7" w:sz="4"/>
              <w:left w:val="single" w:color="D8DEE7" w:sz="4"/>
              <w:bottom w:val="single" w:color="D8DEE7" w:sz="4"/>
              <w:right w:val="single" w:color="D8DEE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2A3646"/>
                <w:sz w:val="20"/>
                <w:szCs w:val="20"/>
              </w:rPr>
              <w:t xml:space="preserve">[                                        ]</w:t>
            </w:r>
          </w:p>
        </w:tc>
      </w:tr>
    </w:tbl>
    <w:p>
      <w:pPr>
        <w:spacing w:after="300"/>
      </w:pPr>
    </w:p>
    <w:p>
      <w:pPr>
        <w:pBdr>
          <w:top w:val="single" w:color="D8DEE7" w:sz="4" w:space="8"/>
        </w:pBdr>
      </w:pPr>
      <w:r>
        <w:rPr>
          <w:i/>
          <w:iCs/>
          <w:color w:val="64748B"/>
          <w:sz w:val="17"/>
          <w:szCs w:val="17"/>
        </w:rPr>
        <w:t xml:space="preserve">Vorlage von Pflichtschulung.info · Stand August 2026 · Freie Verwendung im eigenen Betrieb. Ersetzt keine Rechtsberatung.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7"/>
        <w:szCs w:val="17"/>
      </w:rPr>
      <w:t xml:space="preserve">Seite </w:t>
    </w:r>
    <w:r>
      <w:rPr>
        <w:color w:val="64748B"/>
        <w:sz w:val="17"/>
        <w:szCs w:val="17"/>
      </w:rPr>
      <w:fldChar w:fldCharType="begin"/>
      <w:instrText xml:space="preserve">PAGE</w:instrText>
      <w:fldChar w:fldCharType="separate"/>
      <w:fldChar w:fldCharType="end"/>
    </w:r>
    <w:r>
      <w:rPr>
        <w:color w:val="64748B"/>
        <w:sz w:val="17"/>
        <w:szCs w:val="17"/>
      </w:rPr>
      <w:t xml:space="preserve"> von </w:t>
    </w:r>
    <w:r>
      <w:rPr>
        <w:color w:val="64748B"/>
        <w:sz w:val="17"/>
        <w:szCs w:val="17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64748B"/>
        <w:sz w:val="17"/>
        <w:szCs w:val="17"/>
      </w:rPr>
      <w:t xml:space="preserve">Vorlage · Pflichtschulung.info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D1B2A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0D1B2A"/>
      <w:sz w:val="25"/>
      <w:szCs w:val="25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Richtlinie zum Einsatz von KI-Systemen</dc:title>
  <dc:creator>Pflichtschulung.info</dc:creator>
  <dc:description>Vorlage zur Erfüllung der Anforderungen aus Artikel 4 EU AI Act</dc:description>
  <cp:lastModifiedBy>Un-named</cp:lastModifiedBy>
  <cp:revision>1</cp:revision>
  <dcterms:created xsi:type="dcterms:W3CDTF">2026-09-02T20:46:40.275Z</dcterms:created>
  <dcterms:modified xsi:type="dcterms:W3CDTF">2026-09-02T20:46:40.290Z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